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6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sz w:val="30"/>
          <w:szCs w:val="30"/>
          <w:lang w:val="zh-CN" w:eastAsia="zh-CN"/>
        </w:rPr>
        <w:t>附件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30"/>
          <w:szCs w:val="30"/>
          <w:lang w:val="en-US" w:eastAsia="zh-CN"/>
        </w:rPr>
        <w:t>1</w:t>
      </w:r>
    </w:p>
    <w:p w14:paraId="5321E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CN" w:eastAsia="zh-CN"/>
        </w:rPr>
        <w:t>年度第三批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zh-CN" w:eastAsia="zh-CN"/>
        </w:rPr>
        <w:t>市哲社规划课题</w:t>
      </w:r>
    </w:p>
    <w:p w14:paraId="71C4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CN" w:eastAsia="zh-CN"/>
        </w:rPr>
        <w:t>（年度申报课题）指南</w:t>
      </w:r>
    </w:p>
    <w:p w14:paraId="34F606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习近平新时代中国特色社会主义思想与党的创新理论研究</w:t>
      </w:r>
    </w:p>
    <w:p w14:paraId="70BD6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.习近平总书记考察浙江重要讲话精神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对宁波工作系列重要指示批示精神研究</w:t>
      </w:r>
    </w:p>
    <w:p w14:paraId="2ADFA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3.贯彻落实党的二十大和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十届二中、三中全会精神研究</w:t>
      </w:r>
    </w:p>
    <w:p w14:paraId="432E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4.全面深化改革建设“重要窗口”研究</w:t>
      </w:r>
    </w:p>
    <w:p w14:paraId="5BFFD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5.全面从严治党落实中央八项规定研究</w:t>
      </w:r>
    </w:p>
    <w:p w14:paraId="35B8B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6.高质量发展建设共同富裕示范区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5C9FA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7.宁波</w:t>
      </w:r>
      <w:r>
        <w:rPr>
          <w:rFonts w:hint="eastAsia" w:ascii="仿宋" w:hAnsi="仿宋" w:eastAsia="仿宋" w:cs="仿宋"/>
          <w:sz w:val="28"/>
          <w:szCs w:val="28"/>
        </w:rPr>
        <w:t>数字经济与实体经济深度融合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</w:p>
    <w:p w14:paraId="2CC46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.新质生产力背景下宁波传统制造业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数字化</w:t>
      </w:r>
      <w:r>
        <w:rPr>
          <w:rFonts w:hint="eastAsia" w:ascii="仿宋" w:hAnsi="仿宋" w:eastAsia="仿宋" w:cs="仿宋"/>
          <w:sz w:val="28"/>
          <w:szCs w:val="28"/>
        </w:rPr>
        <w:t>智能化转型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2D398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.全域建设高水平创新型城市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推动教育科技人才一体化发展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540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迭代打造“361”产业体系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加强链群协同发展研究</w:t>
      </w:r>
    </w:p>
    <w:p w14:paraId="30D68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.宁波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民营企业高质量发展研究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4FA2A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12.加快人工智能产业布局与发展研究</w:t>
      </w:r>
    </w:p>
    <w:p w14:paraId="4CAFD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13.唱好杭甬“双城记”建设宁波都市圈研究</w:t>
      </w:r>
    </w:p>
    <w:p w14:paraId="7353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14.宁波优秀传统文化传承保护利用研究</w:t>
      </w:r>
    </w:p>
    <w:p w14:paraId="6DEF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15.大力发展港城文化建设高水平文化强市研究</w:t>
      </w:r>
    </w:p>
    <w:p w14:paraId="2748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16.宁波文化产业创新与提升发展研究</w:t>
      </w:r>
    </w:p>
    <w:p w14:paraId="7CCE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sz w:val="28"/>
          <w:szCs w:val="28"/>
        </w:rPr>
        <w:t>宁波“商旅文体展”联动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融合</w:t>
      </w:r>
      <w:r>
        <w:rPr>
          <w:rFonts w:hint="eastAsia" w:ascii="仿宋" w:hAnsi="仿宋" w:eastAsia="仿宋" w:cs="仿宋"/>
          <w:sz w:val="28"/>
          <w:szCs w:val="28"/>
        </w:rPr>
        <w:t>促消费模式创新研究</w:t>
      </w:r>
    </w:p>
    <w:p w14:paraId="3C4C9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18.大力提振和扩大消费政策研究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6883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19.涵养优良文化人才生态与体制机制研究</w:t>
      </w:r>
    </w:p>
    <w:p w14:paraId="49256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</w:t>
      </w:r>
      <w:r>
        <w:rPr>
          <w:rFonts w:hint="eastAsia" w:ascii="仿宋" w:hAnsi="仿宋" w:eastAsia="仿宋" w:cs="仿宋"/>
          <w:sz w:val="28"/>
          <w:szCs w:val="28"/>
        </w:rPr>
        <w:t xml:space="preserve">宁波打造国际航运服务中心的体制机制创新研究   </w:t>
      </w:r>
    </w:p>
    <w:p w14:paraId="60C7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</w:t>
      </w:r>
      <w:r>
        <w:rPr>
          <w:rFonts w:hint="eastAsia" w:ascii="仿宋" w:hAnsi="仿宋" w:eastAsia="仿宋" w:cs="仿宋"/>
          <w:sz w:val="28"/>
          <w:szCs w:val="28"/>
        </w:rPr>
        <w:t>中东欧国家博览会推动宁波服务贸易高质量发展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795AF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</w:t>
      </w:r>
      <w:r>
        <w:rPr>
          <w:rFonts w:hint="eastAsia" w:ascii="仿宋" w:hAnsi="仿宋" w:eastAsia="仿宋" w:cs="仿宋"/>
          <w:sz w:val="28"/>
          <w:szCs w:val="28"/>
        </w:rPr>
        <w:t xml:space="preserve">宁波跨境电商综试区与自贸试验区联动发展研究   </w:t>
      </w:r>
      <w:bookmarkStart w:id="0" w:name="_GoBack"/>
      <w:bookmarkEnd w:id="0"/>
    </w:p>
    <w:p w14:paraId="385F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 xml:space="preserve">. RCEP框架下宁波港口经济圈与东南亚产业链协同研究   </w:t>
      </w:r>
    </w:p>
    <w:p w14:paraId="6E1D4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.宁波建设“世界一流强港”的数字化、绿色化转型路径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3E3B9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25.加快城市数智化、新能源化、国际化转型研究</w:t>
      </w:r>
    </w:p>
    <w:p w14:paraId="16032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26.政务服务改革与营商环境市场化、法治化、国际化水平提升研究</w:t>
      </w:r>
    </w:p>
    <w:p w14:paraId="275A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</w:t>
      </w:r>
      <w:r>
        <w:rPr>
          <w:rFonts w:hint="eastAsia" w:ascii="仿宋" w:hAnsi="仿宋" w:eastAsia="仿宋" w:cs="仿宋"/>
          <w:sz w:val="28"/>
          <w:szCs w:val="28"/>
        </w:rPr>
        <w:t xml:space="preserve">区域（东西部、山海）合作研究  </w:t>
      </w:r>
    </w:p>
    <w:p w14:paraId="5B682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</w:t>
      </w:r>
      <w:r>
        <w:rPr>
          <w:rFonts w:hint="eastAsia" w:ascii="仿宋" w:hAnsi="仿宋" w:eastAsia="仿宋" w:cs="仿宋"/>
          <w:sz w:val="28"/>
          <w:szCs w:val="28"/>
        </w:rPr>
        <w:t>宁波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人才</w:t>
      </w:r>
      <w:r>
        <w:rPr>
          <w:rFonts w:hint="eastAsia" w:ascii="仿宋" w:hAnsi="仿宋" w:eastAsia="仿宋" w:cs="仿宋"/>
          <w:sz w:val="28"/>
          <w:szCs w:val="28"/>
        </w:rPr>
        <w:t xml:space="preserve">培养体系与产业链需求对接机制研究   </w:t>
      </w:r>
    </w:p>
    <w:p w14:paraId="2A30A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</w:t>
      </w:r>
      <w:r>
        <w:rPr>
          <w:rFonts w:hint="eastAsia" w:ascii="仿宋" w:hAnsi="仿宋" w:eastAsia="仿宋" w:cs="仿宋"/>
          <w:sz w:val="28"/>
          <w:szCs w:val="28"/>
        </w:rPr>
        <w:t>新型研发机构推动宁波关键核心技术攻关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5CD20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30.未来产业新赛道与全面提升产业竞争力研究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A8A0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.甬江实验室创新生态构建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与科技创新引擎作用发挥</w:t>
      </w:r>
      <w:r>
        <w:rPr>
          <w:rFonts w:hint="eastAsia" w:ascii="仿宋" w:hAnsi="仿宋" w:eastAsia="仿宋" w:cs="仿宋"/>
          <w:sz w:val="28"/>
          <w:szCs w:val="28"/>
        </w:rPr>
        <w:t xml:space="preserve">研究     </w:t>
      </w:r>
    </w:p>
    <w:p w14:paraId="3C518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sz w:val="28"/>
          <w:szCs w:val="28"/>
        </w:rPr>
        <w:t xml:space="preserve">.科技金融支持宁波战略性新兴产业发展的模式创新   </w:t>
      </w:r>
    </w:p>
    <w:p w14:paraId="0501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 w:cs="仿宋"/>
          <w:sz w:val="28"/>
          <w:szCs w:val="28"/>
        </w:rPr>
        <w:t>.宁波“专精特新”企业梯度培育的政策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2291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.海外高层次人才引进的“宁波经验”与国际比较研究   </w:t>
      </w:r>
    </w:p>
    <w:p w14:paraId="6B78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.党建引领宁波基层治理模式的效能提升研究   </w:t>
      </w:r>
    </w:p>
    <w:p w14:paraId="04A8D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.加大保障改善民生力度办好民生实事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</w:p>
    <w:p w14:paraId="6D373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 xml:space="preserve">.人口老龄化背景下宁波社区养老研究   </w:t>
      </w:r>
    </w:p>
    <w:p w14:paraId="2B936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.突发公共卫生事件应急管理体系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6AEEC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" w:hanging="280" w:hanging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.做好“强城”“兴村”“融合”推动基本公共服务均等一体化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</w:p>
    <w:p w14:paraId="758ED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>.青年入乡“引育留用”全链条政策体系研究</w:t>
      </w:r>
    </w:p>
    <w:p w14:paraId="72AA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 w:cs="仿宋"/>
          <w:sz w:val="28"/>
          <w:szCs w:val="28"/>
        </w:rPr>
        <w:t>.基层矛盾纠纷化解的“宁波解法”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</w:p>
    <w:p w14:paraId="42C20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42.风险防范化解与平安宁波建设研究</w:t>
      </w:r>
    </w:p>
    <w:p w14:paraId="3B46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 w:cs="仿宋"/>
          <w:sz w:val="28"/>
          <w:szCs w:val="28"/>
        </w:rPr>
        <w:t>.军民融合深度发展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构建一体化国家战略体系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</w:p>
    <w:p w14:paraId="5DA2C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44.</w:t>
      </w:r>
      <w:r>
        <w:rPr>
          <w:rFonts w:hint="eastAsia" w:ascii="仿宋" w:hAnsi="仿宋" w:eastAsia="仿宋" w:cs="仿宋"/>
          <w:sz w:val="28"/>
          <w:szCs w:val="28"/>
        </w:rPr>
        <w:t>长三角一体化背景下宁波都市圈协同治理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 w14:paraId="0E49B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.推进降碳减污扩绿增长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提升环境质量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</w:p>
    <w:p w14:paraId="1DE8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.深化全域国土空间综合整治试点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06A7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47</w:t>
      </w:r>
      <w:r>
        <w:rPr>
          <w:rFonts w:hint="eastAsia" w:ascii="仿宋" w:hAnsi="仿宋" w:eastAsia="仿宋" w:cs="仿宋"/>
          <w:sz w:val="28"/>
          <w:szCs w:val="28"/>
        </w:rPr>
        <w:t>.推进经济社会发展全面绿色转型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大美宁波建设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2451B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</w:rPr>
        <w:t xml:space="preserve">.宁波工业园区循环化改造的激励机制与绩效评价   </w:t>
      </w:r>
    </w:p>
    <w:p w14:paraId="1AFB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49.新能源汽车产业链绿色转型与发展研究  </w:t>
      </w:r>
    </w:p>
    <w:p w14:paraId="3F982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50.全面从严治党与干部担当作为激励机制研究</w:t>
      </w:r>
    </w:p>
    <w:sectPr>
      <w:footerReference r:id="rId3" w:type="default"/>
      <w:pgSz w:w="11906" w:h="16838"/>
      <w:pgMar w:top="1327" w:right="1576" w:bottom="1327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239C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7E448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7E448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D6CA2"/>
    <w:multiLevelType w:val="singleLevel"/>
    <w:tmpl w:val="FFED6C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E1132"/>
    <w:rsid w:val="37FF1DB4"/>
    <w:rsid w:val="3BED9070"/>
    <w:rsid w:val="3BF76760"/>
    <w:rsid w:val="3DFF63FF"/>
    <w:rsid w:val="3EFFBA9A"/>
    <w:rsid w:val="4C7BBC9F"/>
    <w:rsid w:val="4EA73948"/>
    <w:rsid w:val="57B9E613"/>
    <w:rsid w:val="5BFFB11B"/>
    <w:rsid w:val="5CCB23CA"/>
    <w:rsid w:val="6B63AFA0"/>
    <w:rsid w:val="6DE51DCB"/>
    <w:rsid w:val="6ECF819C"/>
    <w:rsid w:val="6F7C3EDB"/>
    <w:rsid w:val="6FBB0E73"/>
    <w:rsid w:val="6FFE5572"/>
    <w:rsid w:val="71FFB16F"/>
    <w:rsid w:val="73A75DCE"/>
    <w:rsid w:val="77FEA35E"/>
    <w:rsid w:val="7C9F6127"/>
    <w:rsid w:val="7D774B0B"/>
    <w:rsid w:val="7DFCCAD0"/>
    <w:rsid w:val="7EEBD61E"/>
    <w:rsid w:val="7F77A049"/>
    <w:rsid w:val="7FDF78C8"/>
    <w:rsid w:val="7FF57479"/>
    <w:rsid w:val="7FF9C493"/>
    <w:rsid w:val="7FFF6292"/>
    <w:rsid w:val="9FBD0409"/>
    <w:rsid w:val="ADD41052"/>
    <w:rsid w:val="B9BEE330"/>
    <w:rsid w:val="B9DF2417"/>
    <w:rsid w:val="BEBDF280"/>
    <w:rsid w:val="BFD95C37"/>
    <w:rsid w:val="BFEE71C6"/>
    <w:rsid w:val="CD7CE572"/>
    <w:rsid w:val="CDFEB072"/>
    <w:rsid w:val="CF6B8EB1"/>
    <w:rsid w:val="CFBD9FCE"/>
    <w:rsid w:val="D5D3DEC6"/>
    <w:rsid w:val="DD5E7905"/>
    <w:rsid w:val="DDEAF8A1"/>
    <w:rsid w:val="DE7F95F0"/>
    <w:rsid w:val="DFF37752"/>
    <w:rsid w:val="EF6E7154"/>
    <w:rsid w:val="EFFE2D61"/>
    <w:rsid w:val="F5DE2280"/>
    <w:rsid w:val="FA3AED5D"/>
    <w:rsid w:val="FB577A4B"/>
    <w:rsid w:val="FCBEF345"/>
    <w:rsid w:val="FDADF08B"/>
    <w:rsid w:val="FEFF88D3"/>
    <w:rsid w:val="FF1FED29"/>
    <w:rsid w:val="FF2F898A"/>
    <w:rsid w:val="FF7DA4D7"/>
    <w:rsid w:val="FFAB4E43"/>
    <w:rsid w:val="FFEF84DB"/>
    <w:rsid w:val="FFFC2371"/>
    <w:rsid w:val="FFFE51E1"/>
    <w:rsid w:val="FFFEB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ndnote reference"/>
    <w:basedOn w:val="9"/>
    <w:qFormat/>
    <w:uiPriority w:val="0"/>
    <w:rPr>
      <w:vertAlign w:val="superscript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2024-03-20T00:02:00Z</dcterms:created>
  <dc:creator>sky</dc:creator>
  <cp:lastModifiedBy>greatwall</cp:lastModifiedBy>
  <cp:lastPrinted>2025-03-21T15:00:00Z</cp:lastPrinted>
  <dcterms:modified xsi:type="dcterms:W3CDTF">2025-03-24T11:06:49Z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620599BD1C9D8AFC40AFEF65E1E5C33E_33</vt:lpwstr>
  </property>
</Properties>
</file>